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813D" w14:textId="77777777" w:rsidR="007C3E11" w:rsidRDefault="007C3E11" w:rsidP="007C3E11">
      <w:pPr>
        <w:pStyle w:val="Default"/>
        <w:rPr>
          <w:sz w:val="23"/>
          <w:szCs w:val="23"/>
        </w:rPr>
      </w:pPr>
      <w:r>
        <w:rPr>
          <w:sz w:val="23"/>
          <w:szCs w:val="23"/>
        </w:rPr>
        <w:t>Citation</w:t>
      </w:r>
    </w:p>
    <w:p w14:paraId="19CC34EC" w14:textId="2C58B953" w:rsidR="007C3E11" w:rsidRDefault="007C3E11" w:rsidP="007C3E11">
      <w:pPr>
        <w:pStyle w:val="Default"/>
        <w:rPr>
          <w:rFonts w:ascii="Arial" w:hAnsi="Arial" w:cs="Arial"/>
          <w:sz w:val="22"/>
          <w:szCs w:val="22"/>
        </w:rPr>
      </w:pPr>
      <w:r>
        <w:rPr>
          <w:sz w:val="23"/>
          <w:szCs w:val="23"/>
        </w:rPr>
        <w:t>3</w:t>
      </w:r>
      <w:r>
        <w:rPr>
          <w:sz w:val="23"/>
          <w:szCs w:val="23"/>
        </w:rPr>
        <w:t xml:space="preserve">) </w:t>
      </w:r>
      <w:r>
        <w:rPr>
          <w:b/>
          <w:bCs/>
          <w:sz w:val="23"/>
          <w:szCs w:val="23"/>
        </w:rPr>
        <w:t>[</w:t>
      </w:r>
      <w:r>
        <w:rPr>
          <w:sz w:val="23"/>
          <w:szCs w:val="23"/>
        </w:rPr>
        <w:t>On or after July 1, 2018, (A) no</w:t>
      </w:r>
      <w:r>
        <w:rPr>
          <w:b/>
          <w:bCs/>
          <w:sz w:val="23"/>
          <w:szCs w:val="23"/>
        </w:rPr>
        <w:t xml:space="preserve">] </w:t>
      </w:r>
      <w:r>
        <w:rPr>
          <w:sz w:val="23"/>
          <w:szCs w:val="23"/>
        </w:rPr>
        <w:t xml:space="preserve">(A) No licensed dentist may delegate dental procedures to a dental assistant or expanded function dental assistant unless the dental assistant or expanded function dental assistant provides records demonstrating successful completion of the Dental Assisting National Board's infection control examination or </w:t>
      </w:r>
      <w:proofErr w:type="gramStart"/>
      <w:r>
        <w:rPr>
          <w:sz w:val="23"/>
          <w:szCs w:val="23"/>
        </w:rPr>
        <w:t>an</w:t>
      </w:r>
      <w:proofErr w:type="gramEnd"/>
      <w:r>
        <w:rPr>
          <w:sz w:val="23"/>
          <w:szCs w:val="23"/>
        </w:rPr>
        <w:t xml:space="preserve"> </w:t>
      </w:r>
      <w:r>
        <w:rPr>
          <w:rFonts w:ascii="Arial" w:hAnsi="Arial" w:cs="Arial"/>
          <w:b/>
          <w:bCs/>
          <w:i/>
          <w:iCs/>
          <w:sz w:val="22"/>
          <w:szCs w:val="22"/>
        </w:rPr>
        <w:t xml:space="preserve">Substitute Senate Bill No. 807 </w:t>
      </w:r>
    </w:p>
    <w:p w14:paraId="451AE43C" w14:textId="77777777" w:rsidR="007C3E11" w:rsidRDefault="007C3E11" w:rsidP="007C3E11">
      <w:pPr>
        <w:pStyle w:val="Default"/>
        <w:rPr>
          <w:rFonts w:ascii="Arial" w:hAnsi="Arial" w:cs="Arial"/>
          <w:i/>
          <w:iCs/>
          <w:color w:val="auto"/>
          <w:sz w:val="22"/>
          <w:szCs w:val="22"/>
        </w:rPr>
      </w:pPr>
      <w:r>
        <w:rPr>
          <w:rFonts w:ascii="Arial" w:hAnsi="Arial" w:cs="Arial"/>
          <w:b/>
          <w:bCs/>
          <w:i/>
          <w:iCs/>
          <w:color w:val="auto"/>
          <w:sz w:val="22"/>
          <w:szCs w:val="22"/>
        </w:rPr>
        <w:t xml:space="preserve">Public Act No. 19-56 19 </w:t>
      </w:r>
      <w:r>
        <w:rPr>
          <w:rFonts w:ascii="Arial" w:hAnsi="Arial" w:cs="Arial"/>
          <w:i/>
          <w:iCs/>
          <w:color w:val="auto"/>
          <w:sz w:val="22"/>
          <w:szCs w:val="22"/>
        </w:rPr>
        <w:t xml:space="preserve">of 24 </w:t>
      </w:r>
    </w:p>
    <w:p w14:paraId="67418B77" w14:textId="77777777" w:rsidR="007C3E11" w:rsidRDefault="007C3E11" w:rsidP="007C3E11">
      <w:pPr>
        <w:pStyle w:val="Default"/>
        <w:rPr>
          <w:rFonts w:ascii="Arial" w:hAnsi="Arial" w:cs="Arial"/>
          <w:i/>
          <w:iCs/>
          <w:color w:val="auto"/>
          <w:sz w:val="22"/>
          <w:szCs w:val="22"/>
        </w:rPr>
      </w:pPr>
    </w:p>
    <w:p w14:paraId="0F06A436" w14:textId="58903855" w:rsidR="007C3E11" w:rsidRDefault="007C3E11" w:rsidP="007C3E11">
      <w:pPr>
        <w:pStyle w:val="Default"/>
        <w:rPr>
          <w:color w:val="auto"/>
          <w:sz w:val="23"/>
          <w:szCs w:val="23"/>
        </w:rPr>
      </w:pPr>
      <w:r>
        <w:rPr>
          <w:rFonts w:cstheme="minorBidi"/>
          <w:color w:val="auto"/>
          <w:sz w:val="23"/>
          <w:szCs w:val="23"/>
        </w:rPr>
        <w:t xml:space="preserve">infection control competency assessment administered by a dental education program in the state that is accredited by the American Dental Association's Commission on Dental Accreditation, except as provided in subdivision (2) of this subsection, (B) a dental assistant may receive not more than </w:t>
      </w:r>
      <w:r>
        <w:rPr>
          <w:b/>
          <w:bCs/>
          <w:color w:val="auto"/>
          <w:sz w:val="23"/>
          <w:szCs w:val="23"/>
        </w:rPr>
        <w:t>[</w:t>
      </w:r>
      <w:r>
        <w:rPr>
          <w:color w:val="auto"/>
          <w:sz w:val="23"/>
          <w:szCs w:val="23"/>
        </w:rPr>
        <w:t>nine</w:t>
      </w:r>
      <w:r>
        <w:rPr>
          <w:b/>
          <w:bCs/>
          <w:color w:val="auto"/>
          <w:sz w:val="23"/>
          <w:szCs w:val="23"/>
        </w:rPr>
        <w:t xml:space="preserve">] </w:t>
      </w:r>
      <w:r>
        <w:rPr>
          <w:color w:val="auto"/>
          <w:sz w:val="23"/>
          <w:szCs w:val="23"/>
        </w:rPr>
        <w:t xml:space="preserve">fifteen months of on-the-job training by a licensed dentist for purposes of preparing the dental assistant for the </w:t>
      </w:r>
      <w:r>
        <w:rPr>
          <w:b/>
          <w:bCs/>
          <w:color w:val="auto"/>
          <w:sz w:val="23"/>
          <w:szCs w:val="23"/>
        </w:rPr>
        <w:t>[</w:t>
      </w:r>
      <w:r>
        <w:rPr>
          <w:color w:val="auto"/>
          <w:sz w:val="23"/>
          <w:szCs w:val="23"/>
        </w:rPr>
        <w:t>Dental Assisting National Board's</w:t>
      </w:r>
      <w:r>
        <w:rPr>
          <w:b/>
          <w:bCs/>
          <w:color w:val="auto"/>
          <w:sz w:val="23"/>
          <w:szCs w:val="23"/>
        </w:rPr>
        <w:t xml:space="preserve">] </w:t>
      </w:r>
      <w:r>
        <w:rPr>
          <w:color w:val="auto"/>
          <w:sz w:val="23"/>
          <w:szCs w:val="23"/>
        </w:rPr>
        <w:t xml:space="preserve">infection control examination or infection control competency assessment, and (C) any licensed dentist who delegates dental procedures to a dental assistant shall retain and make such records available for inspection upon request of the Department of Public Health. </w:t>
      </w:r>
    </w:p>
    <w:p w14:paraId="2FCE087F" w14:textId="77777777" w:rsidR="007C3E11" w:rsidRDefault="007C3E11" w:rsidP="007C3E11">
      <w:pPr>
        <w:pStyle w:val="Default"/>
        <w:rPr>
          <w:color w:val="auto"/>
          <w:sz w:val="23"/>
          <w:szCs w:val="23"/>
        </w:rPr>
      </w:pPr>
    </w:p>
    <w:p w14:paraId="0C85DFF5" w14:textId="0CD67760" w:rsidR="00866FA0" w:rsidRPr="007C3E11" w:rsidRDefault="007C3E11" w:rsidP="007C3E11">
      <w:pPr>
        <w:spacing w:after="0" w:line="240" w:lineRule="auto"/>
      </w:pPr>
      <w:r>
        <w:rPr>
          <w:sz w:val="23"/>
          <w:szCs w:val="23"/>
        </w:rPr>
        <w:t>(4) On and after January 1, 2018, upon successful completion of the Dental Assisting National Board's infection control examination or an infection control competency assessment administered by a dental education program in the state that is accredited by the American Dental Association's Commission on Dental Accreditation, each dental assistant or expanded function dental assistant shall complete not less than one hour of training or education in infection control in a dental setting every two years, including, but not limited to, courses, including online courses, offered or approved by a dental school or another institution of higher education that is accredited or recognized by the Commission on Dental Accreditation, a regional accrediting organization, the American Dental Association or a state, district or local dental association or society affiliated with the American Dental Association or the American Dental Assistants Association.</w:t>
      </w:r>
    </w:p>
    <w:sectPr w:rsidR="00866FA0" w:rsidRPr="007C3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11"/>
    <w:rsid w:val="007C3E11"/>
    <w:rsid w:val="0086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0806"/>
  <w15:chartTrackingRefBased/>
  <w15:docId w15:val="{AFFA5D49-AE1F-4DEC-98AB-085C0B42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7C3E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DefaultParagraphFont"/>
    <w:rsid w:val="007C3E11"/>
  </w:style>
  <w:style w:type="paragraph" w:customStyle="1" w:styleId="Default">
    <w:name w:val="Default"/>
    <w:rsid w:val="007C3E11"/>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9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Holloway</dc:creator>
  <cp:keywords/>
  <dc:description/>
  <cp:lastModifiedBy>Cynthia Holloway</cp:lastModifiedBy>
  <cp:revision>1</cp:revision>
  <dcterms:created xsi:type="dcterms:W3CDTF">2023-02-27T15:29:00Z</dcterms:created>
  <dcterms:modified xsi:type="dcterms:W3CDTF">2023-02-27T19:07:00Z</dcterms:modified>
</cp:coreProperties>
</file>